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3D6" w:rsidRDefault="00CF73D6" w:rsidP="00CF73D6">
      <w:pPr>
        <w:spacing w:line="240" w:lineRule="auto"/>
        <w:rPr>
          <w:sz w:val="22"/>
          <w:lang w:val="en-US"/>
        </w:rPr>
      </w:pPr>
      <w:r w:rsidRPr="000B446C">
        <w:rPr>
          <w:b/>
          <w:sz w:val="22"/>
          <w:lang w:val="en-US"/>
        </w:rPr>
        <w:t xml:space="preserve">Supplementary Tab. 1:  </w:t>
      </w:r>
      <w:r w:rsidRPr="002D3E88">
        <w:rPr>
          <w:sz w:val="22"/>
          <w:lang w:val="en-US"/>
        </w:rPr>
        <w:t>LFQ intensities</w:t>
      </w:r>
      <w:r>
        <w:rPr>
          <w:b/>
          <w:sz w:val="22"/>
          <w:lang w:val="en-US"/>
        </w:rPr>
        <w:t xml:space="preserve"> </w:t>
      </w:r>
      <w:r>
        <w:rPr>
          <w:sz w:val="22"/>
          <w:lang w:val="en-US"/>
        </w:rPr>
        <w:t xml:space="preserve">and p-values of the 25 glaucoma-associated marker proteins after purification and enrichment by either </w:t>
      </w:r>
      <w:r w:rsidRPr="001118EE">
        <w:rPr>
          <w:rFonts w:cs="Arial"/>
          <w:lang w:val="en-US"/>
        </w:rPr>
        <w:t>ZIPTIP</w:t>
      </w:r>
      <w:r w:rsidRPr="001118EE">
        <w:rPr>
          <w:rFonts w:cs="Arial"/>
          <w:vertAlign w:val="superscript"/>
          <w:lang w:val="en-US"/>
        </w:rPr>
        <w:t>®</w:t>
      </w:r>
      <w:r>
        <w:rPr>
          <w:sz w:val="22"/>
          <w:lang w:val="en-US"/>
        </w:rPr>
        <w:t xml:space="preserve"> </w:t>
      </w:r>
      <w:r w:rsidR="00470559">
        <w:rPr>
          <w:sz w:val="22"/>
          <w:lang w:val="en-US"/>
        </w:rPr>
        <w:t xml:space="preserve">C18 </w:t>
      </w:r>
      <w:bookmarkStart w:id="0" w:name="_GoBack"/>
      <w:bookmarkEnd w:id="0"/>
      <w:r>
        <w:rPr>
          <w:sz w:val="22"/>
          <w:lang w:val="en-US"/>
        </w:rPr>
        <w:t xml:space="preserve">pipette tips or </w:t>
      </w:r>
      <w:r w:rsidRPr="001118EE">
        <w:rPr>
          <w:rFonts w:cs="Arial"/>
          <w:lang w:val="en-US"/>
        </w:rPr>
        <w:t>SOLAµ</w:t>
      </w:r>
      <w:r w:rsidRPr="001118EE">
        <w:rPr>
          <w:rFonts w:cs="Arial"/>
          <w:vertAlign w:val="superscript"/>
          <w:lang w:val="en-US"/>
        </w:rPr>
        <w:t>TM</w:t>
      </w:r>
      <w:r>
        <w:rPr>
          <w:sz w:val="22"/>
          <w:lang w:val="en-US"/>
        </w:rPr>
        <w:t xml:space="preserve"> microtiter plates.</w:t>
      </w:r>
    </w:p>
    <w:tbl>
      <w:tblPr>
        <w:tblStyle w:val="Gitternetztabelle21"/>
        <w:tblW w:w="0" w:type="auto"/>
        <w:jc w:val="center"/>
        <w:tblInd w:w="0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07"/>
        <w:gridCol w:w="5202"/>
        <w:gridCol w:w="1461"/>
        <w:gridCol w:w="2767"/>
        <w:gridCol w:w="2769"/>
        <w:gridCol w:w="1156"/>
      </w:tblGrid>
      <w:tr w:rsidR="00CF73D6" w:rsidTr="00DD1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tcBorders>
              <w:left w:val="nil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2D3E88" w:rsidRDefault="00CF73D6" w:rsidP="00DD1D3F">
            <w:pPr>
              <w:pStyle w:val="Listenabsatz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2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90526D">
              <w:rPr>
                <w:rFonts w:asciiTheme="minorHAnsi" w:hAnsiTheme="minorHAnsi"/>
                <w:sz w:val="24"/>
                <w:szCs w:val="24"/>
              </w:rPr>
              <w:t>Proteins</w:t>
            </w:r>
          </w:p>
        </w:tc>
        <w:tc>
          <w:tcPr>
            <w:tcW w:w="1461" w:type="dxa"/>
            <w:tcBorders>
              <w:top w:val="single" w:sz="12" w:space="0" w:color="000000" w:themeColor="text1"/>
              <w:left w:val="single" w:sz="4" w:space="0" w:color="7F7F7F" w:themeColor="text1" w:themeTint="80"/>
              <w:bottom w:val="single" w:sz="12" w:space="0" w:color="000000" w:themeColor="text1"/>
              <w:right w:val="single" w:sz="4" w:space="0" w:color="595959" w:themeColor="text1" w:themeTint="A6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90526D">
              <w:rPr>
                <w:rFonts w:asciiTheme="minorHAnsi" w:hAnsiTheme="minorHAnsi"/>
                <w:sz w:val="24"/>
                <w:szCs w:val="24"/>
              </w:rPr>
              <w:t>Gene name</w:t>
            </w:r>
          </w:p>
        </w:tc>
        <w:tc>
          <w:tcPr>
            <w:tcW w:w="2767" w:type="dxa"/>
            <w:tcBorders>
              <w:top w:val="single" w:sz="12" w:space="0" w:color="000000" w:themeColor="text1"/>
              <w:left w:val="single" w:sz="4" w:space="0" w:color="595959" w:themeColor="text1" w:themeTint="A6"/>
              <w:bottom w:val="single" w:sz="12" w:space="0" w:color="000000" w:themeColor="text1"/>
              <w:right w:val="single" w:sz="4" w:space="0" w:color="595959" w:themeColor="text1" w:themeTint="A6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90526D">
              <w:rPr>
                <w:rFonts w:asciiTheme="minorHAnsi" w:hAnsiTheme="minorHAnsi"/>
                <w:sz w:val="24"/>
                <w:szCs w:val="24"/>
              </w:rPr>
              <w:t>LFQ intensity - SOLAµ</w:t>
            </w:r>
            <w:r w:rsidRPr="0090526D">
              <w:rPr>
                <w:rFonts w:asciiTheme="minorHAnsi" w:hAnsiTheme="minorHAnsi"/>
                <w:sz w:val="24"/>
                <w:szCs w:val="24"/>
                <w:vertAlign w:val="superscript"/>
              </w:rPr>
              <w:t>TM</w:t>
            </w:r>
          </w:p>
        </w:tc>
        <w:tc>
          <w:tcPr>
            <w:tcW w:w="2769" w:type="dxa"/>
            <w:tcBorders>
              <w:top w:val="single" w:sz="12" w:space="0" w:color="000000" w:themeColor="text1"/>
              <w:left w:val="single" w:sz="4" w:space="0" w:color="595959" w:themeColor="text1" w:themeTint="A6"/>
              <w:bottom w:val="single" w:sz="12" w:space="0" w:color="000000" w:themeColor="text1"/>
              <w:right w:val="single" w:sz="4" w:space="0" w:color="595959" w:themeColor="text1" w:themeTint="A6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90526D">
              <w:rPr>
                <w:rFonts w:asciiTheme="minorHAnsi" w:hAnsiTheme="minorHAnsi"/>
                <w:sz w:val="24"/>
                <w:szCs w:val="24"/>
              </w:rPr>
              <w:t xml:space="preserve">LFQ intensity - </w:t>
            </w:r>
            <w:r w:rsidRPr="0090526D">
              <w:rPr>
                <w:rFonts w:cs="Arial"/>
                <w:sz w:val="24"/>
                <w:szCs w:val="24"/>
                <w:lang w:val="en-US"/>
              </w:rPr>
              <w:t>ZIPTIP</w:t>
            </w:r>
            <w:r w:rsidRPr="0090526D">
              <w:rPr>
                <w:rFonts w:cs="Arial"/>
                <w:sz w:val="24"/>
                <w:szCs w:val="24"/>
                <w:vertAlign w:val="superscript"/>
                <w:lang w:val="en-US"/>
              </w:rPr>
              <w:t>®</w:t>
            </w:r>
          </w:p>
        </w:tc>
        <w:tc>
          <w:tcPr>
            <w:tcW w:w="1156" w:type="dxa"/>
            <w:tcBorders>
              <w:top w:val="single" w:sz="12" w:space="0" w:color="000000" w:themeColor="text1"/>
              <w:left w:val="single" w:sz="4" w:space="0" w:color="595959" w:themeColor="text1" w:themeTint="A6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90526D">
              <w:rPr>
                <w:rFonts w:asciiTheme="minorHAnsi" w:hAnsiTheme="minorHAnsi"/>
                <w:sz w:val="24"/>
                <w:szCs w:val="24"/>
              </w:rPr>
              <w:t>p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Pr="0090526D">
              <w:rPr>
                <w:rFonts w:asciiTheme="minorHAnsi" w:hAnsiTheme="minorHAnsi"/>
                <w:sz w:val="24"/>
                <w:szCs w:val="24"/>
              </w:rPr>
              <w:t>value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tabs>
                <w:tab w:val="left" w:pos="225"/>
                <w:tab w:val="center" w:pos="530"/>
              </w:tabs>
              <w:ind w:left="0"/>
              <w:jc w:val="center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0526D">
              <w:rPr>
                <w:rFonts w:asciiTheme="minorHAnsi" w:hAnsiTheme="minorHAnsi"/>
                <w:sz w:val="24"/>
                <w:szCs w:val="24"/>
              </w:rPr>
              <w:t>DDM</w:t>
            </w:r>
          </w:p>
        </w:tc>
        <w:tc>
          <w:tcPr>
            <w:tcW w:w="52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Reticulon-3</w:t>
            </w:r>
          </w:p>
        </w:tc>
        <w:tc>
          <w:tcPr>
            <w:tcW w:w="1461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RTN3</w:t>
            </w:r>
          </w:p>
        </w:tc>
        <w:tc>
          <w:tcPr>
            <w:tcW w:w="2767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1,17*10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3,5*10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1,23*10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2,8*10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0,83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Vesicle-associated membrane protein-associated protein B/C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VAPB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5,78*10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2,7*10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6,14*10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3,1*10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0,89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Guanine nucleotide-binding protein G(i) subunit alpha-2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GNAI2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1,12*10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1,9*10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7,75*10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2,8*10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0,15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ATP-dependent 6-phosphofructokinase, muscle type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PFKM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5,16*10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1,0*10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6,26*10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1,0*10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0,26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Retinol-binding protein 3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RBP3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1,32*10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1,9*10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1,17*10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3,2*10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0,52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Pyruvate dehydrogenase E1 component subunit beta, mitochondrial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PDHB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8,44*10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3,5*10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6,11*10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8,0*10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0,32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ADP/ATP translocase 3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SLC25A6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2,34*10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1,0*10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1,89*10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7,8*10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0,58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Endoplasmin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HSP90B1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7,62*10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7,1*10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7,23*10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7,3*10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0,54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Rab GDP dissociation inhibitor alpha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GDI1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7,84*10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6,82*10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2,1*10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0,52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Myosin-11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MYH11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3,09*10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1,6*10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3,38*10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0,11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Vesicle-fusing ATPase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NSF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1,64*10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1,2+10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1,76*10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1,3*10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0,91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Small nuclear ribonucleoprotein Sm D3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SNRPD3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8,28*10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8,55*10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2,1*10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0,87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Heterogeneous nuclear ribonucleoprotein U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HNRNPU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2,11*10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6,2*10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2,74*10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0,47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Ras-related protein Rab-11B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RAB11B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  <w:lang w:val="en-GB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>1,61*10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  <w:lang w:val="en-GB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 xml:space="preserve"> ± 8,9*10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  <w:lang w:val="en-GB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  <w:lang w:val="en-GB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>1,01*10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  <w:lang w:val="en-GB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± 4,8*10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>0,37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sz w:val="24"/>
                <w:szCs w:val="24"/>
                <w:lang w:val="en-GB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Putative elongation factor 1-alpha-like 3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>EEF1A1P5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>4,96*10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  <w:lang w:val="en-GB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± 9,1*10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  <w:lang w:val="en-GB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>4,79*10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  <w:lang w:val="en-GB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± 9,3*10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GB"/>
              </w:rPr>
              <w:t>0,83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90526D" w:rsidRDefault="00CF73D6" w:rsidP="00DD1D3F">
            <w:pPr>
              <w:pStyle w:val="Listenabsatz"/>
              <w:ind w:left="0"/>
              <w:jc w:val="center"/>
              <w:rPr>
                <w:rFonts w:asciiTheme="minorHAnsi" w:hAnsiTheme="minorHAnsi"/>
                <w:b w:val="0"/>
                <w:bCs w:val="0"/>
                <w:sz w:val="24"/>
                <w:szCs w:val="24"/>
                <w:lang w:val="en-GB"/>
              </w:rPr>
            </w:pPr>
            <w:r w:rsidRPr="0090526D">
              <w:rPr>
                <w:rFonts w:asciiTheme="minorHAnsi" w:hAnsiTheme="minorHAnsi"/>
                <w:sz w:val="24"/>
                <w:szCs w:val="24"/>
                <w:lang w:val="en-GB"/>
              </w:rPr>
              <w:t>TFA</w:t>
            </w: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PC4 and SFRS1-interacting protein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PSIP1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3,99*10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3,7*10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3,75*10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6,6*10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0,61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90526D" w:rsidRDefault="00CF73D6" w:rsidP="00DD1D3F">
            <w:pPr>
              <w:pStyle w:val="Listenabsatz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Alpha-crystallin B chain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CRYAB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2,74*10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3,2*10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3,13*10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5,7*10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0,36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90526D" w:rsidRDefault="00CF73D6" w:rsidP="00DD1D3F">
            <w:pPr>
              <w:pStyle w:val="Listenabsatz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60S acidic ribosomal protein P0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RPLP0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3,01*10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3,9*10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3,59*10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8,2*10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0,34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90526D" w:rsidRDefault="00CF73D6" w:rsidP="00DD1D3F">
            <w:pPr>
              <w:pStyle w:val="Listenabsatz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Histone H1.0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H1F0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3,85*10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2,7*10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4,13*10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2,5*10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0,26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90526D" w:rsidRDefault="00CF73D6" w:rsidP="00DD1D3F">
            <w:pPr>
              <w:pStyle w:val="Listenabsatz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Annexin A2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ANXA2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2,34*10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2,55*10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2,6*10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0,54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90526D" w:rsidRDefault="00CF73D6" w:rsidP="00DD1D3F">
            <w:pPr>
              <w:pStyle w:val="Listenabsatz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High mobility group protein HMG-I/HMG-Y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HMGA1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1,02*10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1,17*10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0,29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90526D" w:rsidRDefault="00CF73D6" w:rsidP="00DD1D3F">
            <w:pPr>
              <w:pStyle w:val="Listenabsatz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Trifunctional enzyme subunit alpha, mitochondrial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HADHA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1,30*10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6,8*10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1,17*10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2,0*10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0,33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90526D" w:rsidRDefault="00CF73D6" w:rsidP="00DD1D3F">
            <w:pPr>
              <w:pStyle w:val="Listenabsatz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Methyl-CpG-binding protein 2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MECP2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2,14*10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1,0*10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2,43*10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8,2*10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0,02</w:t>
            </w:r>
          </w:p>
        </w:tc>
      </w:tr>
      <w:tr w:rsidR="00CF73D6" w:rsidRPr="0090526D" w:rsidTr="00DD1D3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90526D" w:rsidRDefault="00CF73D6" w:rsidP="00DD1D3F">
            <w:pPr>
              <w:pStyle w:val="Listenabsatz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40S ribosomal protein S7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RPS7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5,84*10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5,8*10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5,53*10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3,4*10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0,47</w:t>
            </w:r>
          </w:p>
        </w:tc>
      </w:tr>
      <w:tr w:rsidR="00CF73D6" w:rsidRPr="0090526D" w:rsidTr="00DD1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</w:tcPr>
          <w:p w:rsidR="00CF73D6" w:rsidRPr="0090526D" w:rsidRDefault="00CF73D6" w:rsidP="00DD1D3F">
            <w:pPr>
              <w:pStyle w:val="Listenabsatz"/>
              <w:ind w:left="0"/>
              <w:jc w:val="both"/>
              <w:rPr>
                <w:rFonts w:asciiTheme="minorHAnsi" w:hAnsiTheme="minorHAnsi"/>
              </w:rPr>
            </w:pPr>
          </w:p>
        </w:tc>
        <w:tc>
          <w:tcPr>
            <w:tcW w:w="520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  <w:lang w:val="en-US"/>
              </w:rPr>
              <w:t>High mobility group protein B1</w:t>
            </w:r>
          </w:p>
        </w:tc>
        <w:tc>
          <w:tcPr>
            <w:tcW w:w="14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HMGB1</w:t>
            </w:r>
          </w:p>
        </w:tc>
        <w:tc>
          <w:tcPr>
            <w:tcW w:w="2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1,97*10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7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± 1,6*10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7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2,41*10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 xml:space="preserve">7 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± 3,8*10</w:t>
            </w:r>
            <w:r w:rsidRPr="000B446C">
              <w:rPr>
                <w:rFonts w:asciiTheme="minorHAnsi" w:hAnsiTheme="minorHAnsi"/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F73D6" w:rsidRPr="000B446C" w:rsidRDefault="00CF73D6" w:rsidP="00DD1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B446C">
              <w:rPr>
                <w:rFonts w:asciiTheme="minorHAnsi" w:hAnsiTheme="minorHAnsi"/>
                <w:color w:val="000000"/>
                <w:sz w:val="18"/>
                <w:szCs w:val="18"/>
              </w:rPr>
              <w:t>0,14</w:t>
            </w:r>
          </w:p>
        </w:tc>
      </w:tr>
    </w:tbl>
    <w:p w:rsidR="00EC7877" w:rsidRDefault="00EC7877"/>
    <w:sectPr w:rsidR="00EC7877" w:rsidSect="00CF73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3D6"/>
    <w:rsid w:val="00470559"/>
    <w:rsid w:val="00CF73D6"/>
    <w:rsid w:val="00EC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4558D6-BEE9-4103-9BA8-FFF1C1284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73D6"/>
    <w:pPr>
      <w:spacing w:line="360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CF73D6"/>
    <w:pPr>
      <w:spacing w:line="259" w:lineRule="auto"/>
      <w:ind w:left="720"/>
      <w:contextualSpacing/>
      <w:jc w:val="left"/>
    </w:pPr>
    <w:rPr>
      <w:sz w:val="22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CF73D6"/>
  </w:style>
  <w:style w:type="table" w:customStyle="1" w:styleId="Gitternetztabelle21">
    <w:name w:val="Gitternetztabelle 21"/>
    <w:basedOn w:val="NormaleTabelle"/>
    <w:next w:val="Gitternetztabelle2"/>
    <w:uiPriority w:val="47"/>
    <w:rsid w:val="00CF73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">
    <w:name w:val="Grid Table 2"/>
    <w:basedOn w:val="NormaleTabelle"/>
    <w:uiPriority w:val="47"/>
    <w:rsid w:val="00CF73D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Schmelter</dc:creator>
  <cp:keywords/>
  <dc:description/>
  <cp:lastModifiedBy>Carsten Schmelter</cp:lastModifiedBy>
  <cp:revision>2</cp:revision>
  <dcterms:created xsi:type="dcterms:W3CDTF">2018-07-17T13:22:00Z</dcterms:created>
  <dcterms:modified xsi:type="dcterms:W3CDTF">2018-09-18T10:26:00Z</dcterms:modified>
</cp:coreProperties>
</file>